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Updates and Corrections to </w:t>
      </w:r>
      <w:r w:rsidDel="00000000" w:rsidR="00000000" w:rsidRPr="00000000">
        <w:rPr>
          <w:rFonts w:ascii="Calibri" w:cs="Calibri" w:eastAsia="Calibri" w:hAnsi="Calibri"/>
          <w:b w:val="1"/>
          <w:sz w:val="28"/>
          <w:szCs w:val="28"/>
          <w:u w:val="single"/>
          <w:rtl w:val="0"/>
        </w:rPr>
        <w:t xml:space="preserve">The Story of Seneca, Illinois</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0"/>
          <w:szCs w:val="20"/>
          <w:u w:val="single"/>
          <w:rtl w:val="0"/>
        </w:rPr>
        <w:t xml:space="preserve">updated 11/11/15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Through the course of the production of this book, many people worked tirelessly to produce a historical correct publication that would be used as the definitive history of the Seneca community.  Care was taken to make sure that all information was accurate.    Unfortunately, with a project of this magnitude, mistakes do slip past authors and editors.  We sincerely apologize for those affected by the mistakes and regret any errors.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Below are listed corrections  such as misspellings, incorrect dates, misplaced locations, or information that is simply incorrect.  It also contains information that was provided after the publication of the book and some updates and clarifications.  This list does not include punctuation and grammar errors, but is intended to correct any historical errors.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This page can be printed out and inserted in your book so future readers may have the correct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i w:val="1"/>
          <w:sz w:val="24"/>
          <w:szCs w:val="24"/>
          <w:rtl w:val="0"/>
        </w:rPr>
        <w:t xml:space="preserve">If anyone has further corrections or information they would like added to this page, please contact the Seneca Historical Guild, </w:t>
      </w:r>
      <w:hyperlink r:id="rId5">
        <w:r w:rsidDel="00000000" w:rsidR="00000000" w:rsidRPr="00000000">
          <w:rPr>
            <w:rFonts w:ascii="Calibri" w:cs="Calibri" w:eastAsia="Calibri" w:hAnsi="Calibri"/>
            <w:i w:val="1"/>
            <w:color w:val="1155cc"/>
            <w:sz w:val="24"/>
            <w:szCs w:val="24"/>
            <w:u w:val="single"/>
            <w:rtl w:val="0"/>
          </w:rPr>
          <w:t xml:space="preserve">senecahistory@gmail.com</w:t>
        </w:r>
      </w:hyperlink>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975.0" w:type="dxa"/>
        <w:jc w:val="left"/>
        <w:tblInd w:w="-30.0" w:type="dxa"/>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870"/>
        <w:gridCol w:w="9105"/>
        <w:tblGridChange w:id="0">
          <w:tblGrid>
            <w:gridCol w:w="870"/>
            <w:gridCol w:w="9105"/>
          </w:tblGrid>
        </w:tblGridChange>
      </w:tblGrid>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Page #</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b w:val="1"/>
                <w:sz w:val="20"/>
                <w:szCs w:val="20"/>
                <w:rtl w:val="0"/>
              </w:rPr>
              <w:t xml:space="preserve">Correction/Additional Information</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Front Cover</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The photo on the front cover was from the Hippard collection.  John Howard Hippard has identified the people in the picture to the best of his recollection. Far left: Bill Smith. Young Boy: Chuck Brinkman. Right Male: Paul Brinkman, brother of Chuck.  Left female: Mabel Brinkman, mother of boys and a cousin of Oliver Hippard.  Center female: Hulda Hultmark (Hippard), mother of John Hippard.  Right female: Anne Hultmark (Hedren), sister of Hulda Hultmark.</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Tidbit - There only 13 villages in the US named Seneca (not 15).  New York and Ohio have Seneca Counties.</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Village incorporation was in 1858, not 1958.</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Fergy's is spelled incorrectly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1879 news article listed Patrick Maher as the Marshall.  The correct spelling is Meagher, but is pronounced ‘Ma Her’.</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Andreatta - Megan Hoster did not marry John Higgins. She married Joel Smith.</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Capsel - Loren played into his 70s, not 1970s.  Savannah is the correct spelling for Savannah Bland.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Morey is spelled incorrectly.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2-23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Einhaus - Jason and Donna Greve's daughter is 'Carly' not 'Carl'.</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2-33</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Hoben - Mr. Hoben married Mary Emmons Wilcox - her name was mistaking listed as Emmons Hogan Wilcox.</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2-35</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Hougas - This article was submitted by Kirsten Tendall, daughter of John (not Mark) and Penny (Hougas) Tendall.</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Oren Jackson's wife was Gertrude Isabelle Tesdal, but went by the name "Belle'</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2-38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Jackson - Jeff and Carol (not Mary) had two sons, Cory and Chris.</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2-46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Joseph Maierhofer was born in 1892, not 1898</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2-46</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Mathias "Tide" Maierhofer was died in 1989, Marie died in 1980.</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2-47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Maierhofer - Jim and Peggy were married in 1962 (not 1963).  Les was born in 1964, (not 1963). Les and Nadine were married in 1991.</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2-57</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Rusty and Bernie Partridge are the parents of Aaron and Jessie.  Dick Partridge married Diana Timmons and they are the parents of Brian, Angie, and Jody.</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2-67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Bill Steep was in the Marines and the Army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2-70</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The picture of the Tendall "boys" was taken circa late 1980s. The correct order of the gentlemen should be: Wayne, Russ, Wesley and Otto, Jr.</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2-73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Peggy 'Sue'  Tomberlin should be Peggy 'Ann' Tomberlin</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3-15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Stavanger is on N. 32nd Rd.</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4-4</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The first name of Hoff in Hayer and Hoff elevator was 'Charles.'</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Photo caption - The grain elevator was built in 1958, not 1957.</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It is unsure exactly what years the Seneca Stockyards were in business.</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Research continues on what years the dairies were present in the Seneca area.</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4-10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Russ Myer's last name is misspelled.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4-19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Fergy's is spelled incorrectly.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State Bank of Seneca was originally on William Street before moving to Main Street.</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4.28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Ellis implement picture is from the 1880s, not the 1870s.</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4-52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Bellettini's is misspelled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William Brookman should be John H. Brookman and he came from Germany, not England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4.66</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Tidbit 1873 should be 1863.</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It is 'Joe' Einhaus in the picture, not 'Jerry' Einhaus</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4-68</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Tidbit - The full address is 250 'N.' Main</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4-76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Mary Lou Larson is spelled incorrectly.</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Tidbit clarified - The Seneca TSA organization was the outstanding chapter in Illinois from 1985-2014.</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SHS Land Lab is located E. 29th Rd., not E.28th Rd.</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In the football picture caption, 'Terry' Rooney should be 'Tom' Rooney.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5-26</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'Mark' Aubry threw the winning pass to 'Jason' Vertin.  Jason Aubry was a key player on the team, but was a running back.</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5-29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Tammy Malone should be 'Amanda' Malone.</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5-34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In the spirit team photo caption, 'Beth' Lowery is misnamed as 'Becky' Lowery.</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6-11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word society is missing at the end of the sentence.</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6-11</w:t>
            </w:r>
          </w:p>
        </w:tc>
        <w:tc>
          <w:tcPr>
            <w:tcBorders>
              <w:bottom w:color="000000" w:space="0" w:sz="6" w:val="single"/>
              <w:right w:color="000000" w:space="0" w:sz="6" w:val="single"/>
            </w:tcBorders>
            <w:shd w:fill="ffffff"/>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highlight w:val="white"/>
                <w:rtl w:val="0"/>
              </w:rPr>
              <w:t xml:space="preserve">Beginning in 2012, the official priest of St. Patrick's Church is Fr. Philip Halfacre.   Father Ray Guthrie is the Parochial Vicar and the priest-in-residence.</w:t>
            </w: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This top picture is from circa 1925</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6-12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The bottom picture is from circa 1907, not 1920.</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7-1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Tidbit - Seneca changed to the commissioner system of government in 1923.</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Vaughey is spelled incorrectly in the picture caption.</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8-5</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'Ciddy' Myers is incorrectly spelled as 'Cindy'.</w:t>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8-20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Chas Raleigh lived in Elgin, not Elmhurst. Soon after the printing of this book, he moved to Villa Park.</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9-22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Christie Street was inadvertently left off the list of names of streets in Seneca.</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10-9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Picture caption  - Bernice Chrisman's name was misspelled.  Unknown before the book was printed, Bernice is the grandmother of current Seneca resident, Dave Odum.</w:t>
            </w:r>
          </w:p>
        </w:tc>
      </w:tr>
      <w:tr>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Borders>
              <w:bottom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jc w:val="center"/>
            </w:pPr>
            <w:r w:rsidDel="00000000" w:rsidR="00000000" w:rsidRPr="00000000">
              <w:rPr>
                <w:sz w:val="20"/>
                <w:szCs w:val="20"/>
                <w:rtl w:val="0"/>
              </w:rPr>
              <w:t xml:space="preserve">11-7</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pPr>
              <w:contextualSpacing w:val="0"/>
            </w:pPr>
            <w:r w:rsidDel="00000000" w:rsidR="00000000" w:rsidRPr="00000000">
              <w:rPr>
                <w:sz w:val="20"/>
                <w:szCs w:val="20"/>
                <w:rtl w:val="0"/>
              </w:rPr>
              <w:t xml:space="preserve">In the poem, 'Virge' Sheedy is spelled incorrectly.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enecahistory@gmail.com" TargetMode="External"/></Relationships>
</file>